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9CEE" w14:textId="77777777" w:rsidR="008E2467" w:rsidRPr="00ED06E0" w:rsidRDefault="008E2467" w:rsidP="00ED06E0">
      <w:pPr>
        <w:widowControl w:val="0"/>
        <w:spacing w:before="96" w:after="0" w:line="276" w:lineRule="auto"/>
        <w:jc w:val="center"/>
        <w:rPr>
          <w:rFonts w:ascii="Times New Roman" w:hAnsi="Times New Roman" w:cs="Times New Roman"/>
          <w:kern w:val="24"/>
          <w:sz w:val="28"/>
          <w:szCs w:val="28"/>
          <w14:ligatures w14:val="none"/>
        </w:rPr>
      </w:pPr>
      <w:r w:rsidRPr="00ED06E0">
        <w:rPr>
          <w:rFonts w:ascii="Times New Roman" w:hAnsi="Times New Roman" w:cs="Times New Roman"/>
          <w:b/>
          <w:bCs/>
          <w:kern w:val="24"/>
          <w:sz w:val="28"/>
          <w:szCs w:val="28"/>
          <w14:ligatures w14:val="none"/>
        </w:rPr>
        <w:t>L’ATTIVITA’ OPERATIVA DELLA POLIZIA DI STATO DI CAMPOBASSO</w:t>
      </w:r>
    </w:p>
    <w:p w14:paraId="3BF45B29" w14:textId="77777777" w:rsidR="008E2467" w:rsidRPr="00ED06E0" w:rsidRDefault="008E2467" w:rsidP="00ED06E0">
      <w:pPr>
        <w:widowControl w:val="0"/>
        <w:spacing w:before="96" w:after="0" w:line="276" w:lineRule="auto"/>
        <w:jc w:val="both"/>
        <w:rPr>
          <w:rFonts w:ascii="Times New Roman" w:hAnsi="Times New Roman" w:cs="Times New Roman"/>
          <w:kern w:val="24"/>
          <w:sz w:val="28"/>
          <w:szCs w:val="28"/>
          <w14:ligatures w14:val="none"/>
        </w:rPr>
      </w:pPr>
      <w:r w:rsidRPr="00ED06E0">
        <w:rPr>
          <w:rFonts w:ascii="Times New Roman" w:hAnsi="Times New Roman" w:cs="Times New Roman"/>
          <w:kern w:val="24"/>
          <w:sz w:val="28"/>
          <w:szCs w:val="28"/>
          <w14:ligatures w14:val="none"/>
        </w:rPr>
        <w:t> </w:t>
      </w:r>
    </w:p>
    <w:p w14:paraId="285A01BF" w14:textId="77777777" w:rsidR="008E2467" w:rsidRPr="00ED06E0" w:rsidRDefault="008E2467" w:rsidP="00ED06E0">
      <w:pPr>
        <w:widowControl w:val="0"/>
        <w:spacing w:before="96" w:after="0" w:line="276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ED06E0">
        <w:rPr>
          <w:rFonts w:ascii="Times New Roman" w:hAnsi="Times New Roman" w:cs="Times New Roman"/>
          <w:kern w:val="24"/>
          <w:sz w:val="28"/>
          <w:szCs w:val="28"/>
          <w14:ligatures w14:val="none"/>
        </w:rPr>
        <w:t>Il 10 aprile 2025 la Polizia di Stato celebra il 173° anniversario della sua fondazione.</w:t>
      </w:r>
    </w:p>
    <w:p w14:paraId="2001CBAA" w14:textId="77777777" w:rsidR="008E2467" w:rsidRPr="00ED06E0" w:rsidRDefault="008E2467" w:rsidP="00ED06E0">
      <w:pPr>
        <w:widowControl w:val="0"/>
        <w:spacing w:before="96" w:after="0" w:line="276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ED06E0">
        <w:rPr>
          <w:rFonts w:ascii="Times New Roman" w:hAnsi="Times New Roman" w:cs="Times New Roman"/>
          <w:sz w:val="28"/>
          <w:szCs w:val="28"/>
          <w14:ligatures w14:val="none"/>
        </w:rPr>
        <w:t> </w:t>
      </w:r>
    </w:p>
    <w:p w14:paraId="7FEEF2F9" w14:textId="77777777" w:rsidR="008E2467" w:rsidRPr="00ED06E0" w:rsidRDefault="008E2467" w:rsidP="00ED06E0">
      <w:pPr>
        <w:widowControl w:val="0"/>
        <w:spacing w:line="276" w:lineRule="auto"/>
        <w:jc w:val="both"/>
        <w:rPr>
          <w:rFonts w:ascii="Times New Roman" w:hAnsi="Times New Roman" w:cs="Times New Roman"/>
          <w:kern w:val="24"/>
          <w:sz w:val="28"/>
          <w:szCs w:val="28"/>
          <w14:ligatures w14:val="none"/>
        </w:rPr>
      </w:pPr>
      <w:r w:rsidRPr="00ED06E0">
        <w:rPr>
          <w:rFonts w:ascii="Times New Roman" w:hAnsi="Times New Roman" w:cs="Times New Roman"/>
          <w:b/>
          <w:bCs/>
          <w:kern w:val="24"/>
          <w:sz w:val="28"/>
          <w:szCs w:val="28"/>
          <w14:ligatures w14:val="none"/>
        </w:rPr>
        <w:t xml:space="preserve">#ESSERCISEMPRE </w:t>
      </w:r>
      <w:r w:rsidRPr="00ED06E0">
        <w:rPr>
          <w:rFonts w:ascii="Times New Roman" w:hAnsi="Times New Roman" w:cs="Times New Roman"/>
          <w:kern w:val="24"/>
          <w:sz w:val="28"/>
          <w:szCs w:val="28"/>
          <w14:ligatures w14:val="none"/>
        </w:rPr>
        <w:t xml:space="preserve">il popolare </w:t>
      </w:r>
      <w:r w:rsidRPr="00ED06E0">
        <w:rPr>
          <w:rFonts w:ascii="Times New Roman" w:hAnsi="Times New Roman" w:cs="Times New Roman"/>
          <w:i/>
          <w:iCs/>
          <w:kern w:val="24"/>
          <w:sz w:val="28"/>
          <w:szCs w:val="28"/>
          <w14:ligatures w14:val="none"/>
        </w:rPr>
        <w:t>hashtag</w:t>
      </w:r>
      <w:r w:rsidRPr="00ED06E0">
        <w:rPr>
          <w:rFonts w:ascii="Times New Roman" w:hAnsi="Times New Roman" w:cs="Times New Roman"/>
          <w:kern w:val="24"/>
          <w:sz w:val="28"/>
          <w:szCs w:val="28"/>
          <w14:ligatures w14:val="none"/>
        </w:rPr>
        <w:t xml:space="preserve"> della Polizia di Stato, ben identifica lo scopo dell’iniziativa: condividere la ricorrenza con i cittadini, ai quali è rivolto l’operato quotidiano delle donne e degli uomini della Polizia di Stato.</w:t>
      </w:r>
    </w:p>
    <w:p w14:paraId="0CEC3FD5" w14:textId="77777777" w:rsidR="008E2467" w:rsidRPr="00ED06E0" w:rsidRDefault="008E2467" w:rsidP="00ED06E0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ED06E0">
        <w:rPr>
          <w:rFonts w:ascii="Times New Roman" w:hAnsi="Times New Roman" w:cs="Times New Roman"/>
          <w:kern w:val="24"/>
          <w:sz w:val="28"/>
          <w:szCs w:val="28"/>
          <w14:ligatures w14:val="none"/>
        </w:rPr>
        <w:t xml:space="preserve">Di seguito vengono riportati i dati relativi ai risultati conseguiti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in un anno di attività, (1° aprile 2024 al 31 marzo 2025) dagli uffici della Polizia di Stato che operano nella provincia di Campobasso.</w:t>
      </w:r>
    </w:p>
    <w:p w14:paraId="5E598E24" w14:textId="77777777" w:rsidR="008E2467" w:rsidRPr="00ED06E0" w:rsidRDefault="008E2467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LA GESTIONE DELL’ORDINE PUBBLICO</w:t>
      </w:r>
    </w:p>
    <w:p w14:paraId="2CAEEB06" w14:textId="77777777" w:rsidR="008E2467" w:rsidRPr="00ED06E0" w:rsidRDefault="008E2467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L’Ufficio di Gabinetto della Questura ha elaborato 1.010 ordinanze di servizio per manifestazioni di spiccato interesse per l’ordine pubblico che hanno riguardato l’intera provincia: 68 iniziative di natura politico/sindacale, 292 manifestazioni sportive, 40 grandi eventi e pubblici spettacoli, 487 iniziative di altra natura. Sulla base di tali ordinanze di servizio sono stati complessivamente impiegati 7.025 operatori tra Polizia di Stato, Arma dei Carabinieri, Guardia di Finanza e personale di rinforzo messo a disposizione dal Dipartimento della Pubblica Sicurezza.</w:t>
      </w:r>
    </w:p>
    <w:p w14:paraId="4D7B06E4" w14:textId="77777777" w:rsidR="008E2467" w:rsidRPr="00ED06E0" w:rsidRDefault="008E2467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03C43E23" w14:textId="77777777" w:rsidR="008E2467" w:rsidRPr="00ED06E0" w:rsidRDefault="008E2467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CONTROLLO DEL TERRITORIO</w:t>
      </w:r>
    </w:p>
    <w:p w14:paraId="5879BC3D" w14:textId="25ED37D2" w:rsidR="004C5993" w:rsidRPr="00ED06E0" w:rsidRDefault="008E2467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Nel periodo dal 1° aprile 2024 al 31 marzo 2025, l’attività di controllo del territorio espletata dagli equipaggi dell’Ufficio Prevenzione Generale e Soccorso Pubblico della Questura e dal Commissariato di P.S. di Termoli ha prodotto i seguenti risultati: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287FE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31.159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controlli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(+</w:t>
      </w:r>
      <w:r w:rsidR="00287FE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20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%), </w:t>
      </w:r>
      <w:r w:rsidR="00287FE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47.325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persone identificate (</w:t>
      </w:r>
      <w:r w:rsidR="00287FE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26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%) e </w:t>
      </w:r>
      <w:r w:rsidR="009C7B5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22.229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veicoli controllati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(+</w:t>
      </w:r>
      <w:r w:rsidR="009C7B5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10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%).</w:t>
      </w:r>
    </w:p>
    <w:p w14:paraId="3ADADBBF" w14:textId="4C4F549C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Sono state gestite, inoltre, </w:t>
      </w:r>
      <w:r w:rsidR="007D606D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13.959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chiamate giunte al numero di emergenza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113, mentre le segnalazioni pervenute presso la </w:t>
      </w:r>
      <w:r w:rsidR="006C53D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ala </w:t>
      </w:r>
      <w:r w:rsidR="006C53D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o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perativa tramite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l’applicazione per </w:t>
      </w:r>
      <w:r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smatphone “You Pol”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sono state </w:t>
      </w:r>
      <w:r w:rsidR="007D606D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231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</w:t>
      </w:r>
      <w:r w:rsidR="0025055E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di cui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: </w:t>
      </w:r>
      <w:r w:rsidR="007D606D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12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per </w:t>
      </w:r>
      <w:r w:rsidR="0025055E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episodi di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bullismo, </w:t>
      </w:r>
      <w:r w:rsidR="007D606D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53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per </w:t>
      </w:r>
      <w:r w:rsidR="0025055E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attività di spaccio di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droga, </w:t>
      </w:r>
      <w:r w:rsidR="007D606D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27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per violenza di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genere e </w:t>
      </w:r>
      <w:r w:rsidR="007D606D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139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per altre fattispecie</w:t>
      </w:r>
      <w:r w:rsidR="0016463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 con un incremento rispetto all’anno precedente del</w:t>
      </w:r>
      <w:r w:rsidR="007D606D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l’89</w:t>
      </w:r>
      <w:r w:rsidR="0016463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%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5AEE2F70" w14:textId="18834D48" w:rsidR="00255436" w:rsidRPr="00ED06E0" w:rsidRDefault="00A2522B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Nel periodo di riferimento l</w:t>
      </w:r>
      <w:r w:rsidR="0025055E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’attività </w:t>
      </w:r>
      <w:r w:rsidR="00FC1BDB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dell’Ufficio Prevenzione Generale e Soccorso Pubblico</w:t>
      </w:r>
      <w:r w:rsidR="007D606D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ha consentito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denunciare 84 persone e arrestarne</w:t>
      </w:r>
      <w:r w:rsidR="007D606D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7D606D" w:rsidRPr="00FB140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13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. Tra questi sono stati effettuati </w:t>
      </w:r>
      <w:r w:rsidR="00C54C3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4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arresti per furto, 2 per rapina, 3 per maltrattamenti in famiglia e lesioni personali, 1 per crollo di costruzioni e pubblica intimidazione</w:t>
      </w:r>
      <w:r w:rsidR="00C54C3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 1 per evasione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. </w:t>
      </w:r>
    </w:p>
    <w:p w14:paraId="1839CC82" w14:textId="78848DDC" w:rsidR="00970D15" w:rsidRPr="00ED06E0" w:rsidRDefault="00970D15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Sono stati effettuati, inoltre, 132 servizi straordinari di controllo del territorio che hanno interessato non solo Campobasso e Termoli ma anche alcuni </w:t>
      </w:r>
      <w:r w:rsid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omuni della provincia. In tali servizi, oltre al personale della Questura e del Commissariato, sono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lastRenderedPageBreak/>
        <w:t xml:space="preserve">state impiegate anche 570 unità del Reparto Prevenzione Crimine di Pescara conseguendo i seguenti risultati operativi: </w:t>
      </w:r>
    </w:p>
    <w:p w14:paraId="7C674D8C" w14:textId="77777777" w:rsidR="00970D15" w:rsidRPr="00ED06E0" w:rsidRDefault="00970D15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Persone controllate: 11.675</w:t>
      </w:r>
    </w:p>
    <w:p w14:paraId="2216E826" w14:textId="77777777" w:rsidR="00970D15" w:rsidRPr="00ED06E0" w:rsidRDefault="00970D15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Veicoli controllati: 6.836 </w:t>
      </w:r>
    </w:p>
    <w:p w14:paraId="321B38C5" w14:textId="595DA2B9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36783AFB" w14:textId="00387C68" w:rsidR="00FC1BDB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ATTIVITA’ DI CONTRASTO ALLA CRIMINALITA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’</w:t>
      </w:r>
    </w:p>
    <w:p w14:paraId="058821AE" w14:textId="7E30DC2B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In tema di contrasto ai reati, l’attività di polizia giudiziaria ha permesso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di effettuare </w:t>
      </w:r>
      <w:r w:rsidR="006D33E7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75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arresti, a vario titolo, da parte </w:t>
      </w:r>
      <w:r w:rsidR="00FC1BDB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degli uffici operativi della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Questura e del Commissariato di P.S. di Termoli.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</w:p>
    <w:p w14:paraId="5280D1B3" w14:textId="4B9CA0B1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Le denunce a piede libero sono state complessivamente </w:t>
      </w:r>
      <w:r w:rsidR="006D33E7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603</w:t>
      </w:r>
      <w:r w:rsidR="00287FE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3A2A8EED" w14:textId="03E2B313" w:rsidR="005F5B22" w:rsidRPr="00E153A5" w:rsidRDefault="00E153A5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Per la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Squadra Mobile va segnalato il 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particolare impegno per il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contrasto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al traffico di sostanze stupefacenti assicurato in particolare dalla Sezione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Antidroga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grazie a cui sono stati sequestrati complessivamente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3F0532"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3</w:t>
      </w:r>
      <w:r w:rsidR="00974FE4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2</w:t>
      </w:r>
      <w:r w:rsidR="007772FA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kg d</w:t>
      </w:r>
      <w:r w:rsidR="00970D15"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i sostanza stupefacente</w:t>
      </w:r>
      <w:r w:rsidR="00970D15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tra cannabinoidi, cocaina, eroina e droghe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sintetiche.</w:t>
      </w:r>
      <w:r w:rsidR="00A2522B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Ben </w:t>
      </w:r>
      <w:r w:rsidR="003C232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19</w:t>
      </w:r>
      <w:r w:rsidR="00A2522B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sono stati gli arresti per spaccio di droga.</w:t>
      </w:r>
    </w:p>
    <w:p w14:paraId="60489D9B" w14:textId="45A66050" w:rsidR="00C91C93" w:rsidRPr="00ED06E0" w:rsidRDefault="00E153A5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Di rilievo anche</w:t>
      </w:r>
      <w:r w:rsidR="00AB689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l</w:t>
      </w:r>
      <w:r w:rsidR="005F5B22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’attività 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condotta in</w:t>
      </w:r>
      <w:r w:rsidR="00AB689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tema 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di reati </w:t>
      </w:r>
      <w:r w:rsidR="00AB689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di vio</w:t>
      </w:r>
      <w:r w:rsidR="005F5B22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lenza </w:t>
      </w:r>
      <w:r w:rsidR="00BA755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domestica e </w:t>
      </w:r>
      <w:r w:rsidR="005F5B22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di gener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</w:t>
      </w:r>
      <w:r w:rsidR="00BA755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 N</w:t>
      </w:r>
      <w:r w:rsidR="00C91C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el periodo in esame, 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infatti, </w:t>
      </w:r>
      <w:r w:rsidR="00C91C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si è registrato rispetto all’anno precedente un incremento del 17% dei casi trattati </w:t>
      </w:r>
      <w:r w:rsidR="00BA755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con il “</w:t>
      </w:r>
      <w:r w:rsidR="00BA7553"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>codice rosso</w:t>
      </w:r>
      <w:r w:rsidR="00BA755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”</w:t>
      </w:r>
      <w:r w:rsidR="00C91C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 la procedura introdotta dalla L</w:t>
      </w:r>
      <w:r w:rsidR="00BA755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egge</w:t>
      </w:r>
      <w:r w:rsidR="00C91C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69/2019 per tali fattispecie delittuose. In particolare sono stati trattati complessivamente 108 codici rossi, con una media di circa 10 casi al mese.</w:t>
      </w:r>
    </w:p>
    <w:p w14:paraId="26FBB5BC" w14:textId="1AC9A4D9" w:rsidR="00BA7553" w:rsidRPr="00ED06E0" w:rsidRDefault="00BA7553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 seguito delle indagini svolte, sono stat</w:t>
      </w:r>
      <w:r w:rsidR="003C232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eseguit</w:t>
      </w:r>
      <w:r w:rsidR="003C232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3C232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6 arresti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</w:t>
      </w:r>
      <w:r w:rsidR="003C232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13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allontanament</w:t>
      </w:r>
      <w:r w:rsidR="003C232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dalla casa familiare, 1 divieto di dimora in Molise. Sono stati applicati anche 2 braccialetti elettronici.</w:t>
      </w:r>
    </w:p>
    <w:p w14:paraId="75A0F601" w14:textId="533537A9" w:rsidR="005F5B22" w:rsidRPr="00ED06E0" w:rsidRDefault="00C91C93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Particolare attenzione è stata dedicata </w:t>
      </w:r>
      <w:r w:rsidR="00B76DD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delitti in danno delle “</w:t>
      </w:r>
      <w:r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>fasce deboli”</w:t>
      </w:r>
      <w:r w:rsidR="00BA7553"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E153A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In tale ambito, s</w:t>
      </w:r>
      <w:r w:rsidR="00BA755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ono stati identificati e denunciati gli autori di 3 casi di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truffe a</w:t>
      </w:r>
      <w:r w:rsidR="00BA755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persone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anzian</w:t>
      </w:r>
      <w:r w:rsidR="00BA755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</w:t>
      </w:r>
      <w:r w:rsidR="00E153A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. Per il fenomeno delle </w:t>
      </w:r>
      <w:r w:rsidR="00B76DD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baby gang, sia italiane che straniere, per il quale nel corso dei mesi estivi si è registrato un incremento a cui ha corrisposto l’immediata </w:t>
      </w:r>
      <w:r w:rsidR="00E153A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attività di contrasto da parte</w:t>
      </w:r>
      <w:r w:rsidR="00B76DD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della Squadra Mobile, sono stati 16 i soggetti denunciati e 2 le misure di custodia cautelare </w:t>
      </w:r>
      <w:r w:rsidR="00E153A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</w:t>
      </w:r>
      <w:r w:rsidR="00B76DD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n carcere applicate a seguito dell</w:t>
      </w:r>
      <w:r w:rsidR="00E153A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</w:t>
      </w:r>
      <w:r w:rsidR="00B76DD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indagin</w:t>
      </w:r>
      <w:r w:rsidR="00E153A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</w:t>
      </w:r>
      <w:r w:rsidR="00B76DD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svolt</w:t>
      </w:r>
      <w:r w:rsidR="00E153A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</w:t>
      </w:r>
      <w:r w:rsidR="00B76DD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44B02910" w14:textId="38E1AEB2" w:rsidR="002258CE" w:rsidRPr="00ED06E0" w:rsidRDefault="002258CE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Al riguardo, sulla base delle indicazioni impartite dal</w:t>
      </w:r>
      <w:r w:rsidR="00E153A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Servizio Centrale Operativo,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sono stati attuati </w:t>
      </w:r>
      <w:r w:rsidR="00E153A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nella città di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Campobasso 2 servizi</w:t>
      </w:r>
      <w:r w:rsidR="00E153A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ad </w:t>
      </w:r>
      <w:r w:rsidR="00E153A5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alto impatto investigativo</w:t>
      </w:r>
      <w:r w:rsidR="00E153A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dedicati alla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criminalità e </w:t>
      </w:r>
      <w:r w:rsidR="00E153A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lla devianza giovanile</w:t>
      </w:r>
      <w:r w:rsidR="00E153A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a seguito dei quali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due giovani stranieri </w:t>
      </w:r>
      <w:r w:rsidR="00B1714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sono stati denunciati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per detenzione </w:t>
      </w:r>
      <w:r w:rsidR="00B17145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di sostanze stupefacenti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ai fini di spaccio.</w:t>
      </w:r>
    </w:p>
    <w:p w14:paraId="156EDAB3" w14:textId="1129BA3D" w:rsidR="004B72F2" w:rsidRPr="00ED06E0" w:rsidRDefault="00B76DDC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</w:t>
      </w:r>
      <w:r w:rsidR="00A3266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n</w:t>
      </w:r>
      <w:r w:rsidR="00B1714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fine, in</w:t>
      </w:r>
      <w:r w:rsidR="00A3266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materia di contrasto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al</w:t>
      </w:r>
      <w:r w:rsidR="00A3266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lo sfruttamento della prostituzione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anche </w:t>
      </w:r>
      <w:r w:rsidR="00A3266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in collaborazione con le Polizie Locali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si è giunti </w:t>
      </w:r>
      <w:r w:rsidR="00A3266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allo smantellamento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di una casa di appuntamenti gestita da due cittadine cinesi che sfruttavano giovani connazionali.</w:t>
      </w:r>
    </w:p>
    <w:p w14:paraId="3ED9BAF7" w14:textId="77777777" w:rsidR="00B17145" w:rsidRDefault="00B17145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51D8F887" w14:textId="08DA6ECF" w:rsidR="004C5993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lastRenderedPageBreak/>
        <w:t xml:space="preserve">L’ATTIVITÀ DELLA POLIZIA AMMINISTRATIVA </w:t>
      </w:r>
      <w:r w:rsidR="005C0A7D"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E</w:t>
      </w: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DELL’IMMIGRAZIONE</w:t>
      </w:r>
    </w:p>
    <w:p w14:paraId="1374FA7A" w14:textId="222DC079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La Polizia Amministrativa e Sociale in provincia di Campobasso</w:t>
      </w:r>
      <w:r w:rsidR="00B1714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ha provveduto al rilascio di </w:t>
      </w:r>
      <w:r w:rsidR="00977A7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7.944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passaporti (+</w:t>
      </w:r>
      <w:r w:rsidR="00BA6B8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27.3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%), </w:t>
      </w:r>
      <w:r w:rsidR="00977A7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1.30</w:t>
      </w:r>
      <w:r w:rsidR="002423A7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licenze di porto d’armi</w:t>
      </w:r>
      <w:r w:rsidR="000B115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(+</w:t>
      </w:r>
      <w:r w:rsidR="002423A7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35</w:t>
      </w:r>
      <w:r w:rsidR="000B115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%)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</w:t>
      </w:r>
      <w:r w:rsidR="00977A7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41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nulla osta all’acquisto di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armi, </w:t>
      </w:r>
      <w:r w:rsidR="00977A7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107</w:t>
      </w:r>
      <w:r w:rsidR="000B115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licenze </w:t>
      </w:r>
      <w:r w:rsidR="000B115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(+150%)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nonché all’adozione di </w:t>
      </w:r>
      <w:r w:rsidR="000B115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</w:t>
      </w:r>
      <w:r w:rsidR="00977A7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8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provvedimenti di diniego </w:t>
      </w:r>
      <w:r w:rsidR="000B115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(+133%)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e </w:t>
      </w:r>
      <w:r w:rsidR="00977A7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13</w:t>
      </w:r>
      <w:r w:rsidR="000B115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revoche di porto d’arma. </w:t>
      </w:r>
    </w:p>
    <w:p w14:paraId="11B37540" w14:textId="65B7938D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Sono stati effettuati, inoltre, </w:t>
      </w:r>
      <w:r w:rsidR="000B115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</w:t>
      </w:r>
      <w:r w:rsidR="00977A7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3</w:t>
      </w:r>
      <w:r w:rsidR="00D2363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controlli amministrativi che hanno determinato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l’adozione </w:t>
      </w:r>
      <w:r w:rsidRPr="00D2363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di </w:t>
      </w:r>
      <w:r w:rsidR="00513E46" w:rsidRPr="00D2363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7</w:t>
      </w:r>
      <w:r w:rsidRPr="00D2363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provvediment</w:t>
      </w:r>
      <w:r w:rsidR="00513E46" w:rsidRPr="00D2363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di chiusura di eserciz</w:t>
      </w:r>
      <w:r w:rsidR="00513E4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pubblic</w:t>
      </w:r>
      <w:r w:rsidR="00513E4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ai sensi dell’art. 100 T.U.L.P.S. e la contestazione di </w:t>
      </w:r>
      <w:r w:rsidR="004920E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</w:t>
      </w:r>
      <w:r w:rsidR="00977A7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5</w:t>
      </w:r>
      <w:r w:rsidR="004920E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illeciti amministrativi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a vario titolo (per intrattenimento musicale </w:t>
      </w:r>
      <w:r w:rsidR="004920E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oltre l’orario consentito, somministrazione di bevande alcoliche a minori di anni 18,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per aver dato alloggio a cittadini stranieri senza la prescritta comunicazione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all’Autorità di Pubblica Sicurezza).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</w:p>
    <w:p w14:paraId="25648A4F" w14:textId="447E319E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Inoltre la Squadra Amministrativa ha deferito all’Autorità Giudiziaria </w:t>
      </w:r>
      <w:r w:rsidR="004920E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8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soggetti per reati commessi in violazione delle norme in materia di armi</w:t>
      </w:r>
      <w:r w:rsidR="004920E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 per esercizio dell’attività di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addetti al controllo senza la prescritta licenza</w:t>
      </w:r>
      <w:r w:rsidR="0077780A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e 1 per commercio abusivo di materiale esplodente con contestuale sequestro di </w:t>
      </w:r>
      <w:r w:rsidR="000B2F1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109 Kg di materiale pirotecnico illegale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</w:p>
    <w:p w14:paraId="647E6222" w14:textId="19EF52DB" w:rsidR="00AF35AA" w:rsidRPr="00ED06E0" w:rsidRDefault="005C0A7D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L’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Ufficio Immigrazione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nel medesimo arco temporale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ha emesso </w:t>
      </w:r>
      <w:r w:rsidR="00977A7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3.715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permessi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di soggiorno con un incremento del 2</w:t>
      </w:r>
      <w:r w:rsidR="00977A7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0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% rispetto all’anno precedente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ed ha provveduto ad eseguire </w:t>
      </w:r>
      <w:r w:rsidR="00F33A9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6</w:t>
      </w:r>
      <w:r w:rsidR="00977A7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9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espulsioni di cittadini stranieri irregolari o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comunque privi di titolo alla permanenza sul territorio nazionale, di cui 4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con accompagnamento alla frontiera e </w:t>
      </w:r>
      <w:r w:rsidR="00F33A9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</w:t>
      </w:r>
      <w:r w:rsidR="00977A7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5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con accompagnamento presso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CPR, con un incremento del 5</w:t>
      </w:r>
      <w:r w:rsidR="002423A7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0%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396FA1F8" w14:textId="0AA56BA8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09005C2D" w14:textId="77777777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ATTIVITÀ D.I.G.O.S.</w:t>
      </w:r>
    </w:p>
    <w:p w14:paraId="4B0352AC" w14:textId="63DE6F12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L’attività svolta dal personale della D.I.G.O.S. della Questura ha prodotto 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seguenti risultati:</w:t>
      </w:r>
    </w:p>
    <w:p w14:paraId="59876C1F" w14:textId="6D3FFA12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 denuncia per illecit</w:t>
      </w:r>
      <w:r w:rsidR="0005161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o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commess</w:t>
      </w:r>
      <w:r w:rsidR="0005161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o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05161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all’interno </w:t>
      </w:r>
      <w:r w:rsidR="005C0A7D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di</w:t>
      </w:r>
      <w:r w:rsidR="0005161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cabina elettorale in occasione delle consultazioni elettorali regionali </w:t>
      </w:r>
    </w:p>
    <w:p w14:paraId="3B4BC0B9" w14:textId="05D15130" w:rsidR="00AF35AA" w:rsidRPr="00ED06E0" w:rsidRDefault="00EA1FFB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5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denunce per reati contro la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fede pubblica</w:t>
      </w:r>
    </w:p>
    <w:p w14:paraId="4A245ECD" w14:textId="2E6AC4E4" w:rsidR="00A04E6E" w:rsidRPr="00ED06E0" w:rsidRDefault="00A04E6E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 denuncia per reati in materia di ordine pubblico</w:t>
      </w:r>
    </w:p>
    <w:p w14:paraId="7E092FFB" w14:textId="2DC1E91C" w:rsidR="00EA1FFB" w:rsidRPr="00ED06E0" w:rsidRDefault="00EA1FFB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1 denuncia per reati contro la </w:t>
      </w:r>
      <w:r w:rsidR="005C0A7D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ubblica </w:t>
      </w:r>
      <w:r w:rsidR="005C0A7D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mministrazione e contro la persona</w:t>
      </w:r>
    </w:p>
    <w:p w14:paraId="730ACFF1" w14:textId="6484411E" w:rsidR="00A04E6E" w:rsidRPr="00ED06E0" w:rsidRDefault="00A04E6E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 denuncia per reati contro l’amministrazione della giustizia</w:t>
      </w:r>
    </w:p>
    <w:p w14:paraId="642D3C6A" w14:textId="2A1F6401" w:rsidR="00AF35AA" w:rsidRPr="00ED06E0" w:rsidRDefault="00051610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5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denunce per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associazione a delinquere finalizzata alla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truffa </w:t>
      </w:r>
    </w:p>
    <w:p w14:paraId="3673AC17" w14:textId="6FF96C64" w:rsidR="00AF35AA" w:rsidRPr="00ED06E0" w:rsidRDefault="00051610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1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denunc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ia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per reati commessi in occasione di manifestazioni sportive</w:t>
      </w:r>
    </w:p>
    <w:p w14:paraId="5E5A6848" w14:textId="41E65F4F" w:rsidR="00220BFB" w:rsidRPr="00ED06E0" w:rsidRDefault="00EF22DB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 denuncia per stampa clandestina</w:t>
      </w:r>
    </w:p>
    <w:p w14:paraId="1AB741C6" w14:textId="7B78FD41" w:rsidR="007B0593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In particolare, sono stati deferiti all’Autorità Giudiziaria </w:t>
      </w:r>
      <w:r w:rsidR="00EA1FFB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5 cittadini stranieri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che</w:t>
      </w:r>
      <w:r w:rsidR="007B05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 con raggiri e artifizi</w:t>
      </w:r>
      <w:r w:rsidR="005C0A7D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nonché</w:t>
      </w:r>
      <w:r w:rsidR="007B05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attraverso </w:t>
      </w:r>
      <w:r w:rsidR="002D023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compensi in denaro, </w:t>
      </w:r>
      <w:r w:rsidR="00B61ED6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hanno indotto</w:t>
      </w:r>
      <w:r w:rsidR="007B05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altri connazionali </w:t>
      </w:r>
      <w:r w:rsidR="00B61ED6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giunti</w:t>
      </w:r>
      <w:r w:rsidR="007B05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nel territorio nazionale con il “visto turistico”</w:t>
      </w:r>
      <w:r w:rsidR="00B61ED6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a ritenere erroneamente che tale circostanza sarebbe stata sufficiente per</w:t>
      </w:r>
      <w:r w:rsidR="007B05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ottenere un permesso di soggiorno per lavoro.</w:t>
      </w:r>
    </w:p>
    <w:p w14:paraId="50162311" w14:textId="6B98968E" w:rsidR="00BE4320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lastRenderedPageBreak/>
        <w:t>L’attività informativa espletata in occasione delle manifestazioni sportive svoltesi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in questa provincia ha consentito, inoltre, di segnalare all’Autorità Giudiziaria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EF22DB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tifos</w:t>
      </w:r>
      <w:r w:rsidR="00EF22DB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o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ai sensi dell’art. 6 bis L.401/89 (lancio di materiale pericoloso)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in occasione di </w:t>
      </w:r>
      <w:r w:rsidR="00EF22DB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un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incontr</w:t>
      </w:r>
      <w:r w:rsidR="00EF22DB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o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di calci</w:t>
      </w:r>
      <w:r w:rsidR="00A377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o.</w:t>
      </w:r>
    </w:p>
    <w:p w14:paraId="0E443CAA" w14:textId="77777777" w:rsidR="00BE4320" w:rsidRPr="00ED06E0" w:rsidRDefault="00BE4320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36D356A5" w14:textId="7C4C1811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LE MISURE DI PREVENZIONE</w:t>
      </w:r>
    </w:p>
    <w:p w14:paraId="68B413B6" w14:textId="3DE341C6" w:rsidR="00AF35AA" w:rsidRPr="00ED06E0" w:rsidRDefault="009E143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L’attività della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Divisione Polizia Anticrimine,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nell’ambito delle prerogative attribuite al Questore dalla normativa antimafia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 dalle leggi speciali nonché nell’ambito del monitoraggio dei soggetti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ritenuti socialmente pericolosi, ha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consentito di adottare </w:t>
      </w:r>
      <w:r w:rsidR="00C15A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numerose misure di prevenzione nello specifico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: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</w:p>
    <w:p w14:paraId="5F6523BA" w14:textId="15BBA028" w:rsidR="00AF35AA" w:rsidRPr="00ED06E0" w:rsidRDefault="00AF35AA" w:rsidP="00ED06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</w:t>
      </w:r>
      <w:r w:rsidR="003F0532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3</w:t>
      </w:r>
      <w:r w:rsidR="00C63514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misure di prevenzione personali </w:t>
      </w:r>
      <w:r w:rsidRPr="00B1714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tipiche</w:t>
      </w:r>
      <w:r w:rsidR="009E143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</w:t>
      </w:r>
      <w:r w:rsidR="00C15A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con un incremento</w:t>
      </w:r>
      <w:r w:rsidR="00FC1BDB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complessivo</w:t>
      </w:r>
      <w:r w:rsidR="00C15A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del 46% rispetto all’anno precedente, </w:t>
      </w:r>
      <w:r w:rsidR="009E143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di cui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:</w:t>
      </w:r>
    </w:p>
    <w:p w14:paraId="35B3BA41" w14:textId="50015096" w:rsidR="00AF35AA" w:rsidRPr="00ED06E0" w:rsidRDefault="003F0532" w:rsidP="00ED06E0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41 </w:t>
      </w:r>
      <w:r w:rsidR="009E143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vvisi </w:t>
      </w:r>
      <w:r w:rsidR="009E143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o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rali, </w:t>
      </w:r>
      <w:r w:rsidR="009E143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tra i quali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4 con prescrizioni ai sensi dell’art. 3 n. 4 del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Decreto Legislativo 06.09.2011 n. 159</w:t>
      </w:r>
    </w:p>
    <w:p w14:paraId="69FE9D69" w14:textId="68FEADF0" w:rsidR="00AF35AA" w:rsidRPr="00ED06E0" w:rsidRDefault="003F0532" w:rsidP="00ED06E0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88 </w:t>
      </w:r>
      <w:r w:rsidR="009E143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f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ogli di via obbligatori con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divieto di fare ritorno in vari </w:t>
      </w:r>
      <w:r w:rsidR="00B1714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omuni della provincia di Campobasso</w:t>
      </w:r>
    </w:p>
    <w:p w14:paraId="0AC1017D" w14:textId="2471F671" w:rsidR="00AF35AA" w:rsidRPr="00ED06E0" w:rsidRDefault="003F0532" w:rsidP="00ED06E0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3 </w:t>
      </w:r>
      <w:r w:rsidR="009E143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roposte di </w:t>
      </w:r>
      <w:r w:rsidR="009E143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orveglianza </w:t>
      </w:r>
      <w:r w:rsidR="009E143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peciale di </w:t>
      </w:r>
      <w:r w:rsidR="009E143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ubblica </w:t>
      </w:r>
      <w:r w:rsidR="009E143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icurezza, di cui </w:t>
      </w:r>
      <w:r w:rsidR="00C15A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una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con obbligo di soggiorno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</w:p>
    <w:p w14:paraId="57247EF7" w14:textId="77777777" w:rsidR="00C63514" w:rsidRPr="00ED06E0" w:rsidRDefault="00C63514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70176051" w14:textId="54DB9175" w:rsidR="00873FEC" w:rsidRPr="00ED06E0" w:rsidRDefault="00BF51EE" w:rsidP="00ED06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71 </w:t>
      </w:r>
      <w:r w:rsidR="00873F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misure di prevenzione personali </w:t>
      </w:r>
      <w:r w:rsidR="00873FEC" w:rsidRPr="00B1714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atipiche</w:t>
      </w:r>
      <w:r w:rsidR="00B1714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con un incremento del 300% rispetto all’anno precedente</w:t>
      </w:r>
      <w:r w:rsidR="00B1714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 tra le quali:</w:t>
      </w:r>
    </w:p>
    <w:p w14:paraId="67C9466C" w14:textId="066811E5" w:rsidR="00C63514" w:rsidRPr="00ED06E0" w:rsidRDefault="003F0532" w:rsidP="00ED06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35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provvedimenti di “DASPO URBANO”, con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cui ai destinatari è stato vietato l’accesso in locali ed esercizi pubblici e/o nelle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loro adiacenze a causa di comportamenti tali da porre a rischio la sicurezza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pubblica</w:t>
      </w:r>
      <w:r w:rsidR="00FC1BDB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</w:t>
      </w:r>
      <w:bookmarkStart w:id="0" w:name="_Hlk191899731"/>
      <w:r w:rsidR="00FC1BDB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con </w:t>
      </w:r>
      <w:r w:rsidR="00C63514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un incremento</w:t>
      </w:r>
      <w:r w:rsidR="00C15A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C63514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del 155% rispetto all’anno precedente</w:t>
      </w:r>
    </w:p>
    <w:bookmarkEnd w:id="0"/>
    <w:p w14:paraId="4F576BA4" w14:textId="77777777" w:rsidR="00C63514" w:rsidRPr="00ED06E0" w:rsidRDefault="00C63514" w:rsidP="00ED06E0">
      <w:p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472ED967" w14:textId="6183303E" w:rsidR="00AF35AA" w:rsidRPr="00ED06E0" w:rsidRDefault="00C63514" w:rsidP="00ED06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</w:t>
      </w:r>
      <w:r w:rsidR="003F0532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8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provvedimenti di “DASPO” sportivi emessi a carico di altrettanti soggetti responsabili di condotte illecite in occasione delle partite di calcio disputate</w:t>
      </w:r>
      <w:r w:rsidR="00C15A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si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in questa provincia, di cui un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provvedimento con prescrizioni </w:t>
      </w:r>
    </w:p>
    <w:p w14:paraId="06B9ABBD" w14:textId="77777777" w:rsidR="00C15A79" w:rsidRPr="00ED06E0" w:rsidRDefault="00C15A79" w:rsidP="00ED06E0">
      <w:p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6B57151D" w14:textId="26CCCD8A" w:rsidR="00AF35AA" w:rsidRPr="00ED06E0" w:rsidRDefault="003F0532" w:rsidP="00ED06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6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provvedimenti di ammonimento a tutela delle vittime di violenza domestica</w:t>
      </w:r>
    </w:p>
    <w:p w14:paraId="0CDDEA27" w14:textId="253B201B" w:rsidR="00C15A79" w:rsidRPr="00ED06E0" w:rsidRDefault="00C15A79" w:rsidP="00ED06E0">
      <w:p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4F58DAF9" w14:textId="073EE6DC" w:rsidR="00C63514" w:rsidRPr="00ED06E0" w:rsidRDefault="003F0532" w:rsidP="00ED06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12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provvedimenti di ammonimento per atti persecutori (</w:t>
      </w:r>
      <w:r w:rsidR="00AF35AA"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>stalking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)</w:t>
      </w:r>
      <w:r w:rsidR="00BF51EE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4E08965E" w14:textId="00DEA141" w:rsidR="004C5993" w:rsidRDefault="004C5993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77DCEF36" w14:textId="71D1D816" w:rsidR="00B17145" w:rsidRDefault="00B17145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1A5BB7E9" w14:textId="4BAB191F" w:rsidR="00B17145" w:rsidRDefault="00B17145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7DEF8BEE" w14:textId="77777777" w:rsidR="00B17145" w:rsidRPr="00ED06E0" w:rsidRDefault="00B17145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5FA6A7AE" w14:textId="132F3150" w:rsidR="004C5993" w:rsidRPr="00ED06E0" w:rsidRDefault="004C5993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346F92E2" w14:textId="58114A33" w:rsidR="00C54C3A" w:rsidRPr="00ED06E0" w:rsidRDefault="00C54C3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lastRenderedPageBreak/>
        <w:t>POLIZIA SCIENTIFICA</w:t>
      </w:r>
    </w:p>
    <w:p w14:paraId="14839106" w14:textId="68DAA577" w:rsidR="00C54C3A" w:rsidRPr="00ED06E0" w:rsidRDefault="00C54C3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Sono stati effettuati nel periodo di riferimento 2.151 fotosegnalamenti, di cui 1</w:t>
      </w:r>
      <w:r w:rsidR="00B1714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951 </w:t>
      </w:r>
      <w:r w:rsidR="00015F5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inseriti in Ban</w:t>
      </w:r>
      <w:r w:rsidR="00B1714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ca </w:t>
      </w:r>
      <w:r w:rsidR="00015F5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dati AFIS (Automated Fingerprint Identification System)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 71 sopralluoghi, 154 sono stati gli esami di sostanze psicotrope</w:t>
      </w:r>
      <w:r w:rsidR="00CE54E5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 42 documentazioni foto/video per servizi di ordine pubblico, 1 accertamento balistico su residuo di sparo, 2 accertamenti su esplosivi e infiammabili e 1 analisi merceologica forense.</w:t>
      </w:r>
    </w:p>
    <w:p w14:paraId="58357AEC" w14:textId="77777777" w:rsidR="00CE54E5" w:rsidRPr="00ED06E0" w:rsidRDefault="00CE54E5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7463ABEE" w14:textId="5858FC79" w:rsidR="00D74261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COMMISSARIATO DI P.S. DI TERMOLI</w:t>
      </w:r>
    </w:p>
    <w:p w14:paraId="39279F2F" w14:textId="77777777" w:rsidR="00AD37AC" w:rsidRDefault="00A6545E" w:rsidP="00AD37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N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el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periodo di riferimento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sono stati conseguiti i seguenti risultati operativi:</w:t>
      </w:r>
    </w:p>
    <w:p w14:paraId="7582D88B" w14:textId="77777777" w:rsidR="00AD37AC" w:rsidRDefault="006D33E7" w:rsidP="00ED06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AD37A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6 </w:t>
      </w:r>
      <w:r w:rsidR="00AF35AA" w:rsidRPr="00AD37A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arresti</w:t>
      </w:r>
      <w:r w:rsidR="00347F10" w:rsidRPr="00AD37A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di cui</w:t>
      </w:r>
      <w:r w:rsidR="00BF51EE" w:rsidRPr="00AD37A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2 per il reato di rapina, 2 per il reato di furto, 1 per reati in materia di stupefacenti e 1 per maltrattamenti in famiglia e atti persecutori</w:t>
      </w:r>
    </w:p>
    <w:p w14:paraId="3B7422C9" w14:textId="77777777" w:rsidR="00AD37AC" w:rsidRDefault="006D33E7" w:rsidP="00ED06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AD37A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393 </w:t>
      </w:r>
      <w:r w:rsidR="00AF35AA" w:rsidRPr="00AD37A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denunce in stato di libertà</w:t>
      </w:r>
    </w:p>
    <w:p w14:paraId="50E6B2AB" w14:textId="77777777" w:rsidR="00AD37AC" w:rsidRDefault="006D33E7" w:rsidP="00ED06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AD37A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18.868 </w:t>
      </w:r>
      <w:r w:rsidR="00AF35AA" w:rsidRPr="00AD37A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soggetti identificati</w:t>
      </w:r>
    </w:p>
    <w:p w14:paraId="7BE0E162" w14:textId="75A4DE07" w:rsidR="00AF35AA" w:rsidRPr="00AD37AC" w:rsidRDefault="006D33E7" w:rsidP="00ED06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AD37A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7.663 </w:t>
      </w:r>
      <w:r w:rsidR="00AF35AA" w:rsidRPr="00AD37A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veicoli controllati</w:t>
      </w:r>
    </w:p>
    <w:p w14:paraId="632A9D82" w14:textId="1B0EDC0A" w:rsidR="006D33E7" w:rsidRPr="00ED06E0" w:rsidRDefault="006D33E7" w:rsidP="00ED06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15 casi trattasti “</w:t>
      </w:r>
      <w:r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>codici rosso”</w:t>
      </w:r>
    </w:p>
    <w:p w14:paraId="241C27CD" w14:textId="42CF6EAE" w:rsidR="006D33E7" w:rsidRPr="00ED06E0" w:rsidRDefault="006D33E7" w:rsidP="00ED06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6 provvedimenti di divieto di avvicinamento alla persona offesa</w:t>
      </w:r>
    </w:p>
    <w:p w14:paraId="2AD5F2F0" w14:textId="2B7EF059" w:rsidR="006D33E7" w:rsidRPr="00ED06E0" w:rsidRDefault="006D33E7" w:rsidP="00ED06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 misure cautelari eseguite.</w:t>
      </w:r>
    </w:p>
    <w:p w14:paraId="697CD6E6" w14:textId="77777777" w:rsidR="006D33E7" w:rsidRPr="00ED06E0" w:rsidRDefault="006D33E7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59B035B7" w14:textId="023CFBD2" w:rsidR="00D74261" w:rsidRPr="00B867AC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SCUOLA ALLIEVI AGENTI</w:t>
      </w:r>
    </w:p>
    <w:p w14:paraId="15E67ABC" w14:textId="74757902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La Scuola Allievi Agenti “Giulio Rivera” di Campobasso</w:t>
      </w:r>
      <w:r w:rsidR="00A6545E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è stata impegnata nell’organizzazione dei seguenti corsi di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formazione:</w:t>
      </w:r>
    </w:p>
    <w:p w14:paraId="6C6FB037" w14:textId="5EAF5EE9" w:rsidR="00AF35AA" w:rsidRPr="00ED06E0" w:rsidRDefault="007F64A0" w:rsidP="00ED06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225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° Corso per </w:t>
      </w:r>
      <w:r w:rsidR="00A6545E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llievi Agenti</w:t>
      </w:r>
      <w:r w:rsidR="00A6545E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della Polizia di Stato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con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206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frequentatori, terminato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il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5 ottobre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202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4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;</w:t>
      </w:r>
    </w:p>
    <w:p w14:paraId="4D822C1E" w14:textId="5D10222C" w:rsidR="00AF35AA" w:rsidRPr="00ED06E0" w:rsidRDefault="00AF35AA" w:rsidP="00ED06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22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7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° Corso Allievi Agenti della Polizia di Stato, con 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211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frequentatori, terminato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il 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6 aprile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202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5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;</w:t>
      </w:r>
    </w:p>
    <w:p w14:paraId="720911BE" w14:textId="0CC6E3EC" w:rsidR="00AF35AA" w:rsidRPr="00ED06E0" w:rsidRDefault="00AF35AA" w:rsidP="00ED06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9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° Corso Allievi Vice Ispettori della Polizia di Stato, con 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195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frequentatori,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iniziato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il 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13 gennaio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202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5 </w:t>
      </w:r>
      <w:r w:rsidR="00A6545E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della durata di 18 mesi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47513A89" w14:textId="77777777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6EF3767C" w14:textId="1EEA6DA9" w:rsidR="007F64A0" w:rsidRPr="00ED06E0" w:rsidRDefault="00B22CE1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Tra le iniziative condotte va ricordato il “</w:t>
      </w:r>
      <w:r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>family day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” 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in occasione delle celebrazioni per San Michele Arcangelo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Patrono della Polizia di Stato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820415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evento 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che ha visto la partecipazione di circa 600 persone tra frequentatori e familiari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01A4A318" w14:textId="45D288B5" w:rsidR="007F64A0" w:rsidRPr="00ED06E0" w:rsidRDefault="00820415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Lo scorso 28 novembre 2024 presso la Scuola </w:t>
      </w:r>
      <w:r w:rsidR="00B22CE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di Polizia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D37A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è stata inaugurata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a Sezione Giovanile Fiamme Oro </w:t>
      </w:r>
      <w:r w:rsidR="00B22CE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</w:t>
      </w:r>
      <w:r w:rsidR="007F64A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esistica</w:t>
      </w:r>
      <w:r w:rsidR="00B22CE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con una cerimonia che ha coinvolto illustri ospiti e campioni dell</w:t>
      </w:r>
      <w:r w:rsidR="009C7B5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o</w:t>
      </w:r>
      <w:r w:rsidR="00B22CE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sport, tra cui il Presidente del CONI Giovanni Malagò e la medaglia olimpica Valentina Vezzali.</w:t>
      </w:r>
    </w:p>
    <w:p w14:paraId="527DC7F6" w14:textId="24D054BF" w:rsidR="00820415" w:rsidRPr="00ED06E0" w:rsidRDefault="00820415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Sono state realizzate anche due iniziative di solidarietà di cui una presso il reparto pediatrico dell’Ospedale “Cardarelli” di Campobasso e una presso la casa famiglia “Annibale di Francia” in occasione del Santo Natale.</w:t>
      </w:r>
    </w:p>
    <w:p w14:paraId="35895885" w14:textId="5E9172D0" w:rsidR="00FB140E" w:rsidRPr="007F64A0" w:rsidRDefault="00FB140E" w:rsidP="00FB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rFonts w:ascii="TimesNewRomanPSMT" w:eastAsiaTheme="minorHAnsi" w:hAnsi="TimesNewRomanPSMT" w:cs="TimesNewRomanPSMT"/>
          <w:color w:val="auto"/>
          <w:kern w:val="0"/>
          <w:sz w:val="28"/>
          <w:szCs w:val="28"/>
          <w:lang w:eastAsia="en-US"/>
          <w14:ligatures w14:val="none"/>
          <w14:cntxtAlts w14:val="0"/>
        </w:rPr>
        <w:lastRenderedPageBreak/>
        <w:t xml:space="preserve">La </w:t>
      </w:r>
      <w:r w:rsidRPr="007F64A0">
        <w:rPr>
          <w:rFonts w:ascii="TimesNewRomanPSMT" w:eastAsiaTheme="minorHAnsi" w:hAnsi="TimesNewRomanPSMT" w:cs="TimesNewRomanPSMT"/>
          <w:color w:val="auto"/>
          <w:kern w:val="0"/>
          <w:sz w:val="28"/>
          <w:szCs w:val="28"/>
          <w:lang w:eastAsia="en-US"/>
          <w14:ligatures w14:val="none"/>
          <w14:cntxtAlts w14:val="0"/>
        </w:rPr>
        <w:t>Scuola Allievi Agenti</w:t>
      </w:r>
      <w:r>
        <w:rPr>
          <w:rFonts w:ascii="TimesNewRomanPSMT" w:eastAsiaTheme="minorHAnsi" w:hAnsi="TimesNewRomanPSMT" w:cs="TimesNewRomanPSMT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di Campobasso</w:t>
      </w:r>
      <w:r w:rsidRPr="007F64A0">
        <w:rPr>
          <w:rFonts w:ascii="TimesNewRomanPSMT" w:eastAsiaTheme="minorHAnsi" w:hAnsi="TimesNewRomanPSMT" w:cs="TimesNewRomanPSMT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ha provveduto, inoltre, a sottoscrivere </w:t>
      </w:r>
      <w:r w:rsidRPr="007F64A0">
        <w:rPr>
          <w:rFonts w:ascii="TimesNewRomanPSMT" w:eastAsiaTheme="minorHAnsi" w:hAnsi="TimesNewRomanPSMT" w:cs="TimesNewRomanPSMT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un protocollo d’intesa per la </w:t>
      </w:r>
      <w:r w:rsidRPr="007F64A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realizzazione di iniziative comuni </w:t>
      </w:r>
      <w:r w:rsidRPr="007F64A0">
        <w:rPr>
          <w:rFonts w:ascii="TimesNewRomanPSMT" w:eastAsiaTheme="minorHAnsi" w:hAnsi="TimesNewRomanPSMT" w:cs="TimesNewRomanPSMT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di interesse scientifico </w:t>
      </w:r>
      <w:r>
        <w:rPr>
          <w:rFonts w:ascii="TimesNewRomanPSMT" w:eastAsiaTheme="minorHAnsi" w:hAnsi="TimesNewRomanPSMT" w:cs="TimesNewRomanPSMT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con la </w:t>
      </w:r>
      <w:r w:rsidRPr="007F64A0">
        <w:rPr>
          <w:rFonts w:ascii="TimesNewRomanPSMT" w:eastAsiaTheme="minorHAnsi" w:hAnsi="TimesNewRomanPSMT" w:cs="TimesNewRomanPSMT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Prefettura </w:t>
      </w:r>
      <w:r>
        <w:rPr>
          <w:rFonts w:ascii="TimesNewRomanPSMT" w:eastAsiaTheme="minorHAnsi" w:hAnsi="TimesNewRomanPSMT" w:cs="TimesNewRomanPSMT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- </w:t>
      </w:r>
      <w:r w:rsidRPr="007F64A0">
        <w:rPr>
          <w:rFonts w:ascii="TimesNewRomanPSMT" w:eastAsiaTheme="minorHAnsi" w:hAnsi="TimesNewRomanPSMT" w:cs="TimesNewRomanPSMT"/>
          <w:color w:val="auto"/>
          <w:kern w:val="0"/>
          <w:sz w:val="28"/>
          <w:szCs w:val="28"/>
          <w:lang w:eastAsia="en-US"/>
          <w14:ligatures w14:val="none"/>
          <w14:cntxtAlts w14:val="0"/>
        </w:rPr>
        <w:t>UTG di Campobasso</w:t>
      </w:r>
      <w:r>
        <w:rPr>
          <w:rFonts w:ascii="TimesNewRomanPSMT" w:eastAsiaTheme="minorHAnsi" w:hAnsi="TimesNewRomanPSMT" w:cs="TimesNewRomanPSMT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e l’</w:t>
      </w:r>
      <w:r w:rsidRPr="007F64A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Università degli Studi del Molise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0DBEC601" w14:textId="187C17C7" w:rsidR="00820415" w:rsidRPr="00ED06E0" w:rsidRDefault="00AD37AC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Il</w:t>
      </w:r>
      <w:r w:rsidR="00820415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17 marzo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2025,</w:t>
      </w:r>
      <w:r w:rsidR="00820415" w:rsidRPr="00ED06E0">
        <w:rPr>
          <w:rFonts w:ascii="Times New Roman" w:hAnsi="Times New Roman" w:cs="Times New Roman"/>
          <w:sz w:val="28"/>
          <w:szCs w:val="28"/>
        </w:rPr>
        <w:t xml:space="preserve"> </w:t>
      </w:r>
      <w:r w:rsidR="00B22CE1" w:rsidRPr="00ED06E0">
        <w:rPr>
          <w:rFonts w:ascii="Times New Roman" w:hAnsi="Times New Roman" w:cs="Times New Roman"/>
          <w:sz w:val="28"/>
          <w:szCs w:val="28"/>
        </w:rPr>
        <w:t xml:space="preserve">infine, </w:t>
      </w:r>
      <w:r w:rsidR="00820415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nell'ambito delle celebrazioni in programma per l’anniversario della strage di Via Fani a Roma, in ricordo della Guardia di Pubblica Sicurezza Giulio Rivera, ucciso nell’attentato</w:t>
      </w:r>
      <w:r w:rsidR="00B22CE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ed al quale è intitolata</w:t>
      </w:r>
      <w:r w:rsidR="00820415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la Scuola</w:t>
      </w:r>
      <w:r w:rsidR="00B22CE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</w:t>
      </w:r>
      <w:r w:rsidR="00820415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è stata </w:t>
      </w:r>
      <w:r w:rsidR="00B22CE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posizionata nella Piazza d'Armi dell’Istituto </w:t>
      </w:r>
      <w:r w:rsidR="00820415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la “Campana del Dovere”,</w:t>
      </w:r>
      <w:r w:rsidR="00B22CE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realizzata dall'Antica Fonderia Marinelli di Agnone.</w:t>
      </w:r>
    </w:p>
    <w:p w14:paraId="3B03632C" w14:textId="77777777" w:rsidR="00B22CE1" w:rsidRPr="00ED06E0" w:rsidRDefault="00820415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</w:p>
    <w:p w14:paraId="3663D807" w14:textId="05269261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POLIZIA STRADALE</w:t>
      </w:r>
      <w:r w:rsidR="00A377EC"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</w:p>
    <w:p w14:paraId="29632394" w14:textId="1EC727BD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La Sezione di Polizia Stradale di Campobasso, insieme al dipendente Distaccamento</w:t>
      </w:r>
      <w:r w:rsidR="00AD37A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di Termoli, ha curato i servizi di competenza in ambito stradale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sull’intero territorio della provincia. In particolare, dal 1° aprile 202</w:t>
      </w:r>
      <w:r w:rsidR="00A377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4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al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31 marzo 202</w:t>
      </w:r>
      <w:r w:rsidR="00A377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5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sono state impiegate </w:t>
      </w:r>
      <w:r w:rsidR="00A377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698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pattuglie che hanno proceduto al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controllo di </w:t>
      </w:r>
      <w:r w:rsidR="00A377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5.429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veicoli e di </w:t>
      </w:r>
      <w:r w:rsidR="00A377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6.570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persone, contestando </w:t>
      </w:r>
      <w:r w:rsidR="00A377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2.641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infrazioni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al Codice della Strada, i cui proventi contravvenzionali ammontano a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377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121</w:t>
      </w:r>
      <w:r w:rsidR="009C7B5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  <w:r w:rsidR="00A377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899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euro.</w:t>
      </w:r>
    </w:p>
    <w:p w14:paraId="727EC10D" w14:textId="76A514DF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Sono state ritirate </w:t>
      </w:r>
      <w:r w:rsidR="00A377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96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patenti di guida e </w:t>
      </w:r>
      <w:r w:rsidR="00A377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87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carte di circolazione, mentre 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punti decurtati sono stati complessivamente </w:t>
      </w:r>
      <w:r w:rsidR="00A377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5.495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</w:p>
    <w:p w14:paraId="61B7A31E" w14:textId="1017C2DC" w:rsidR="004C5993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L’attività investigativa della Specialità ha permesso di denunciare all’Autorità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Giudiziaria </w:t>
      </w:r>
      <w:r w:rsidR="00A377EC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14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persone per varie tipologie di reato inerenti </w:t>
      </w:r>
      <w:r w:rsidR="00D7426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al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la disciplina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della circolazione stradale.</w:t>
      </w:r>
    </w:p>
    <w:p w14:paraId="5FB1A796" w14:textId="77777777" w:rsidR="00AD37AC" w:rsidRDefault="00AD37AC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067B0476" w14:textId="594C504E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SEZIONE OPERATIVA PER LA SICUREZZA CIBERNETICA</w:t>
      </w:r>
    </w:p>
    <w:p w14:paraId="042F79F1" w14:textId="7A9B3817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L’attività della Sezione Operativa per la Sicurezza Cibernetica di Campobasso,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nel periodo in esame, ha evidenziato un incremento di reati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denunciati soprattutto per frode informatica, diffamazione on-line e acceso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abusivo ai profili social network ed e-mail.</w:t>
      </w:r>
    </w:p>
    <w:p w14:paraId="40C3EA03" w14:textId="02FB6BB9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Nello specifico, il personale della Sezione Operati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va ha provveduto alla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trattazione di 84 casi di truffa on-line</w:t>
      </w:r>
      <w:r w:rsidR="00BA534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di cui 11 legati al </w:t>
      </w:r>
      <w:r w:rsidR="00BA534A"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>trading</w:t>
      </w:r>
      <w:r w:rsidR="00BA534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e 20 </w:t>
      </w:r>
      <w:r w:rsidR="00BA534A"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>all’e-commerce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</w:t>
      </w:r>
      <w:r w:rsidR="00BA534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118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frodi on-line, 1</w:t>
      </w:r>
      <w:r w:rsidR="00BA534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3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casi di diffamazione,</w:t>
      </w:r>
      <w:r w:rsidR="00BA534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14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di sostituzione di persona e </w:t>
      </w:r>
      <w:r w:rsidR="00BA534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121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accessi abusivi a sistemi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informatici</w:t>
      </w:r>
      <w:r w:rsidR="00D7426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</w:t>
      </w:r>
      <w:r w:rsidR="00BA534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con un incremento del 137%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3ABB8CFA" w14:textId="64D68BB8" w:rsidR="00AF35AA" w:rsidRPr="00ED06E0" w:rsidRDefault="00BA534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In aumento anche il dato concernente le </w:t>
      </w:r>
      <w:r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«sex-sextortion”, </w:t>
      </w:r>
      <w:r w:rsidR="00D74261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di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circa il 25% rispetto allo scorso anno. </w:t>
      </w:r>
    </w:p>
    <w:p w14:paraId="6EE5B024" w14:textId="6BA8E4AA" w:rsidR="00AF35AA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Le persone denunciate all’Autorità Giudiziaria sono state </w:t>
      </w:r>
      <w:r w:rsidR="00894826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33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68F7AB7D" w14:textId="77777777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0F67793A" w14:textId="3D770ADF" w:rsidR="00E4631F" w:rsidRPr="00AD37AC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LA POLIZIA FERROVIARIA</w:t>
      </w:r>
    </w:p>
    <w:p w14:paraId="22827425" w14:textId="2C63E57B" w:rsidR="00AF35AA" w:rsidRPr="00ED06E0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L’attività svolta dal personale del Posto Polfer di Termoli è stata caratterizzata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dall’impiego di </w:t>
      </w:r>
      <w:r w:rsidR="00255436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695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pattuglie dedicate ai controlli presso lo scalo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ferroviario della cittadina adriatica, interessato anche dalla circolazione di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treni ad Alta Velocità, mentre i servizi svolti a bordo treno per la sicurezza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dei viaggiatori sono state ben </w:t>
      </w:r>
      <w:r w:rsidR="00255436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50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78DF0387" w14:textId="76F3BC61" w:rsidR="00AF35AA" w:rsidRPr="00ED06E0" w:rsidRDefault="00E4631F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lastRenderedPageBreak/>
        <w:t>I poliziotti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della Specialità, nel periodo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di riferimento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ha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nno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identificato </w:t>
      </w:r>
      <w:r w:rsidR="00255436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12.178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persone ed effettuato </w:t>
      </w:r>
      <w:r w:rsidR="00255436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119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servizi di scorta a treni</w:t>
      </w:r>
      <w:r w:rsidR="004C5993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AF35A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passeggeri.</w:t>
      </w:r>
    </w:p>
    <w:p w14:paraId="71F3CD55" w14:textId="26424E86" w:rsidR="00255436" w:rsidRPr="00ED06E0" w:rsidRDefault="00E4631F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È </w:t>
      </w:r>
      <w:r w:rsidR="00255436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stato effettuato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anche </w:t>
      </w:r>
      <w:r w:rsidR="00255436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per reati contro la persona e contro il patrimonio, violenza e lesioni a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</w:t>
      </w:r>
      <w:r w:rsidR="00255436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ubblico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u</w:t>
      </w:r>
      <w:r w:rsidR="00255436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fficiale.</w:t>
      </w:r>
    </w:p>
    <w:p w14:paraId="25830F08" w14:textId="77777777" w:rsidR="004C5993" w:rsidRPr="00ED06E0" w:rsidRDefault="004C5993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35AC04FD" w14:textId="1AE8DDA3" w:rsidR="00173479" w:rsidRPr="00AD37AC" w:rsidRDefault="00AF35AA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CAMPAGNE DI SENSIBILIZZAZIONE</w:t>
      </w:r>
    </w:p>
    <w:p w14:paraId="4AD39204" w14:textId="2B149CBD" w:rsidR="00030B2C" w:rsidRPr="00ED06E0" w:rsidRDefault="00030B2C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Tra le iniziative di maggiore rilievo </w:t>
      </w:r>
      <w:r w:rsidR="00E4631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va segnalato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il Progetto di educazione alla legalità contro l’utilizzo di stupefacenti </w:t>
      </w:r>
      <w:r w:rsidR="00E4631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nato dalla collaborazione tra Questura, </w:t>
      </w:r>
      <w:r w:rsidR="001734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Procura della Repubblica presso il Tribunale dei Minorenni di Campobasso,</w:t>
      </w:r>
      <w:r w:rsidR="00E4631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Ufficio Scolastico Regionale</w:t>
      </w:r>
      <w:r w:rsidR="007772FA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e</w:t>
      </w:r>
      <w:r w:rsidR="00E4631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7772F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Comunità Terapeutica “La Valle” di Toro</w:t>
      </w:r>
      <w:r w:rsidR="007772FA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  <w:r w:rsidR="007772FA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E4631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Il progetto è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rivolto agli studenti degli istituti di istruzione secondaria di secondo grado della provincia di Campobasso</w:t>
      </w:r>
      <w:r w:rsidR="00E4631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per l’anno scolastico 2024/2025</w:t>
      </w:r>
      <w:r w:rsidR="001734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ed ha </w:t>
      </w:r>
      <w:r w:rsidR="00E4631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lo scopo di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sensibilizza</w:t>
      </w:r>
      <w:r w:rsidR="00E4631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re i più giovani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sui rischi e sulle conseguenze dell’utilizzo di sostanze stupefacenti.</w:t>
      </w:r>
    </w:p>
    <w:p w14:paraId="19FAD980" w14:textId="00F75215" w:rsidR="00030B2C" w:rsidRPr="00ED06E0" w:rsidRDefault="00030B2C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L’iniziativa </w:t>
      </w:r>
      <w:r w:rsidR="001734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si basa su un approccio multidisciplinare</w:t>
      </w:r>
      <w:r w:rsidR="00E4631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con gli studenti</w:t>
      </w:r>
      <w:r w:rsidR="001734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: agli incontri infatti prendono parte</w:t>
      </w:r>
      <w:r w:rsidR="00E4631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i poliziotti della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Squadra Mobile, personale </w:t>
      </w:r>
      <w:r w:rsidR="00E4631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medico</w:t>
      </w:r>
      <w:r w:rsidR="0068740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magistrati della Procura dei Minor</w:t>
      </w:r>
      <w:r w:rsidR="0068740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enni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1734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ed</w:t>
      </w:r>
      <w:r w:rsidR="0068740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E4631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il responsabile della </w:t>
      </w:r>
      <w:r w:rsidR="007772FA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Comunità “La Valle”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Padre Lino Iacobucci</w:t>
      </w:r>
      <w:r w:rsidR="00687400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</w:p>
    <w:p w14:paraId="544A5A00" w14:textId="13CDBC92" w:rsidR="00030B2C" w:rsidRDefault="00687400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Il personale </w:t>
      </w:r>
      <w:r w:rsidR="001734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della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Divisione Polizia Anticrimine invece è stato impegnato nella campagna permanente della Polizia di Stato denominata </w:t>
      </w:r>
      <w:r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>“Questo non è amore”</w:t>
      </w:r>
      <w:r w:rsidR="00173479"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</w:t>
      </w:r>
      <w:r w:rsidR="001734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 nella</w:t>
      </w:r>
      <w:r w:rsidR="00173479"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“</w:t>
      </w:r>
      <w:r w:rsidRPr="00ED06E0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  <w14:ligatures w14:val="none"/>
          <w14:cntxtAlts w14:val="0"/>
        </w:rPr>
        <w:t>Giornata Internazionale contro la violenza di genere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”</w:t>
      </w:r>
      <w:r w:rsidR="001734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del 25 novembre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sono stati organizzati </w:t>
      </w:r>
      <w:r w:rsidR="001734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nel capoluogo alcuni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momenti di incontro con la cittadinanza </w:t>
      </w:r>
      <w:r w:rsidR="001734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per la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massima sensibilizzazione sulla grave problematica della violenza domestica</w:t>
      </w:r>
      <w:r w:rsidR="001734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</w:t>
      </w:r>
      <w:r w:rsidR="003143E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anche </w:t>
      </w:r>
      <w:r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attraverso la distribuzione del materiale informativo realizzato dal Dipartimento della Pubblica Sicurezza</w:t>
      </w:r>
      <w:r w:rsidR="003143E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. Nella medesima giornata in collaborazione con l’Ufficio Scolastico Regionale e </w:t>
      </w:r>
      <w:r w:rsidR="001734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con l’</w:t>
      </w:r>
      <w:r w:rsidR="003143E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Ordine dei Farmacisti è stato distribuito lo stesso materiale presso alcuni Istituti Scolastici e </w:t>
      </w:r>
      <w:r w:rsidR="00173479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le </w:t>
      </w:r>
      <w:r w:rsidR="003143EF" w:rsidRPr="00ED06E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farmacie. </w:t>
      </w:r>
    </w:p>
    <w:p w14:paraId="4EDFE3E6" w14:textId="61403B80" w:rsidR="00654B16" w:rsidRPr="00ED06E0" w:rsidRDefault="00654B16" w:rsidP="00654B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654B1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Infine, è stata sottoscritta una Convenzione tra Questura di Campobasso e Università degli Studi del Molise per favorire la partecipazione degli appartenenti alla Polizia di Stato al corso di laurea triennale “Diritto, nuove tecnologie e sicurezza” presso il Dipartimento Giuridico dell’Ateneo, importante opportunità per accrescere il bagaglio professionale e favorire la specializzazione del personale.</w:t>
      </w:r>
    </w:p>
    <w:p w14:paraId="56C7ED1A" w14:textId="77777777" w:rsidR="00654B16" w:rsidRPr="00ED06E0" w:rsidRDefault="00654B16" w:rsidP="00ED06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sectPr w:rsidR="00654B16" w:rsidRPr="00ED06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022"/>
    <w:multiLevelType w:val="hybridMultilevel"/>
    <w:tmpl w:val="A462CE54"/>
    <w:lvl w:ilvl="0" w:tplc="77A4418C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77A4418C">
      <w:numFmt w:val="bullet"/>
      <w:lvlText w:val="-"/>
      <w:lvlJc w:val="left"/>
      <w:pPr>
        <w:ind w:left="1440" w:hanging="360"/>
      </w:pPr>
      <w:rPr>
        <w:rFonts w:ascii="TimesNewRoman" w:eastAsiaTheme="minorHAnsi" w:hAnsi="TimesNewRoman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E76"/>
    <w:multiLevelType w:val="hybridMultilevel"/>
    <w:tmpl w:val="88186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B776B"/>
    <w:multiLevelType w:val="hybridMultilevel"/>
    <w:tmpl w:val="28C44D5E"/>
    <w:lvl w:ilvl="0" w:tplc="77A4418C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95729"/>
    <w:multiLevelType w:val="hybridMultilevel"/>
    <w:tmpl w:val="03482820"/>
    <w:lvl w:ilvl="0" w:tplc="BAEC67D6">
      <w:start w:val="5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E3498"/>
    <w:multiLevelType w:val="hybridMultilevel"/>
    <w:tmpl w:val="E5441CD4"/>
    <w:lvl w:ilvl="0" w:tplc="77A4418C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B2E4F"/>
    <w:multiLevelType w:val="hybridMultilevel"/>
    <w:tmpl w:val="075A6450"/>
    <w:lvl w:ilvl="0" w:tplc="1B029462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335E0"/>
    <w:multiLevelType w:val="hybridMultilevel"/>
    <w:tmpl w:val="A44EB7EE"/>
    <w:lvl w:ilvl="0" w:tplc="36408130">
      <w:start w:val="5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3592C"/>
    <w:multiLevelType w:val="hybridMultilevel"/>
    <w:tmpl w:val="46468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E78F6"/>
    <w:multiLevelType w:val="hybridMultilevel"/>
    <w:tmpl w:val="FBA8EBCC"/>
    <w:lvl w:ilvl="0" w:tplc="068C9C7E">
      <w:start w:val="5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50812"/>
    <w:multiLevelType w:val="hybridMultilevel"/>
    <w:tmpl w:val="79902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F28AE"/>
    <w:multiLevelType w:val="hybridMultilevel"/>
    <w:tmpl w:val="CCA6ADD2"/>
    <w:lvl w:ilvl="0" w:tplc="77A4418C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49"/>
    <w:rsid w:val="00015F5A"/>
    <w:rsid w:val="00030B2C"/>
    <w:rsid w:val="00051610"/>
    <w:rsid w:val="000B115F"/>
    <w:rsid w:val="000B2F15"/>
    <w:rsid w:val="00116DC6"/>
    <w:rsid w:val="00147AAA"/>
    <w:rsid w:val="00164639"/>
    <w:rsid w:val="00173479"/>
    <w:rsid w:val="001F69A3"/>
    <w:rsid w:val="00220BFB"/>
    <w:rsid w:val="002258CE"/>
    <w:rsid w:val="002423A7"/>
    <w:rsid w:val="0025055E"/>
    <w:rsid w:val="00255436"/>
    <w:rsid w:val="00276AA3"/>
    <w:rsid w:val="00287FE1"/>
    <w:rsid w:val="002975E5"/>
    <w:rsid w:val="002D0231"/>
    <w:rsid w:val="003143EF"/>
    <w:rsid w:val="003470EC"/>
    <w:rsid w:val="00347F10"/>
    <w:rsid w:val="003C232F"/>
    <w:rsid w:val="003F0532"/>
    <w:rsid w:val="00430149"/>
    <w:rsid w:val="004920E0"/>
    <w:rsid w:val="004B72F2"/>
    <w:rsid w:val="004C5993"/>
    <w:rsid w:val="00513E46"/>
    <w:rsid w:val="005B7900"/>
    <w:rsid w:val="005C0A7D"/>
    <w:rsid w:val="005C2266"/>
    <w:rsid w:val="005F5B22"/>
    <w:rsid w:val="00654B16"/>
    <w:rsid w:val="00687400"/>
    <w:rsid w:val="006C53DC"/>
    <w:rsid w:val="006D33E7"/>
    <w:rsid w:val="007772FA"/>
    <w:rsid w:val="0077780A"/>
    <w:rsid w:val="0078385F"/>
    <w:rsid w:val="00786D9C"/>
    <w:rsid w:val="007B0593"/>
    <w:rsid w:val="007D606D"/>
    <w:rsid w:val="007F64A0"/>
    <w:rsid w:val="00820415"/>
    <w:rsid w:val="00873FEC"/>
    <w:rsid w:val="00894826"/>
    <w:rsid w:val="008C3FAB"/>
    <w:rsid w:val="008E2467"/>
    <w:rsid w:val="008E3C5E"/>
    <w:rsid w:val="00970D15"/>
    <w:rsid w:val="00974FE4"/>
    <w:rsid w:val="00977A7A"/>
    <w:rsid w:val="009A0F03"/>
    <w:rsid w:val="009C7B59"/>
    <w:rsid w:val="009E143A"/>
    <w:rsid w:val="00A04E6E"/>
    <w:rsid w:val="00A07D59"/>
    <w:rsid w:val="00A15BBB"/>
    <w:rsid w:val="00A2522B"/>
    <w:rsid w:val="00A3266F"/>
    <w:rsid w:val="00A377EC"/>
    <w:rsid w:val="00A6545E"/>
    <w:rsid w:val="00A66B75"/>
    <w:rsid w:val="00AB689A"/>
    <w:rsid w:val="00AD37AC"/>
    <w:rsid w:val="00AD6BE4"/>
    <w:rsid w:val="00AF35AA"/>
    <w:rsid w:val="00B17145"/>
    <w:rsid w:val="00B22CE1"/>
    <w:rsid w:val="00B61ED6"/>
    <w:rsid w:val="00B76DDC"/>
    <w:rsid w:val="00B867AC"/>
    <w:rsid w:val="00BA534A"/>
    <w:rsid w:val="00BA6B83"/>
    <w:rsid w:val="00BA7553"/>
    <w:rsid w:val="00BE4320"/>
    <w:rsid w:val="00BF51EE"/>
    <w:rsid w:val="00C15A79"/>
    <w:rsid w:val="00C47194"/>
    <w:rsid w:val="00C54C3A"/>
    <w:rsid w:val="00C63514"/>
    <w:rsid w:val="00C67F48"/>
    <w:rsid w:val="00C91C93"/>
    <w:rsid w:val="00CB4646"/>
    <w:rsid w:val="00CE54E5"/>
    <w:rsid w:val="00D2363F"/>
    <w:rsid w:val="00D74261"/>
    <w:rsid w:val="00DC06F0"/>
    <w:rsid w:val="00E153A5"/>
    <w:rsid w:val="00E4631F"/>
    <w:rsid w:val="00EA1FFB"/>
    <w:rsid w:val="00EB1F4A"/>
    <w:rsid w:val="00EB52FD"/>
    <w:rsid w:val="00EC5A31"/>
    <w:rsid w:val="00ED06E0"/>
    <w:rsid w:val="00EF22DB"/>
    <w:rsid w:val="00F33A9C"/>
    <w:rsid w:val="00F64698"/>
    <w:rsid w:val="00F735BB"/>
    <w:rsid w:val="00FB140E"/>
    <w:rsid w:val="00FC1BDB"/>
    <w:rsid w:val="00F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5001"/>
  <w15:chartTrackingRefBased/>
  <w15:docId w15:val="{9243845C-D03F-471F-8DED-D2441B1A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5A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0E14-B0B0-4BD5-9CAA-19A9F546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SCARFONE Emanuela</dc:creator>
  <cp:keywords/>
  <dc:description/>
  <cp:lastModifiedBy>SCARFONE Emanuela</cp:lastModifiedBy>
  <cp:revision>57</cp:revision>
  <dcterms:created xsi:type="dcterms:W3CDTF">2025-03-03T12:00:00Z</dcterms:created>
  <dcterms:modified xsi:type="dcterms:W3CDTF">2025-04-07T06:58:00Z</dcterms:modified>
</cp:coreProperties>
</file>